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8" w:rsidRDefault="009B637D" w:rsidP="009B637D">
      <w:pPr>
        <w:pStyle w:val="Title"/>
        <w:spacing w:before="100" w:beforeAutospacing="1"/>
      </w:pPr>
      <w:r w:rsidRPr="00B9261A">
        <w:rPr>
          <w:noProof/>
        </w:rPr>
        <w:drawing>
          <wp:anchor distT="0" distB="0" distL="114300" distR="114300" simplePos="0" relativeHeight="251659264" behindDoc="1" locked="1" layoutInCell="1" allowOverlap="1" wp14:anchorId="723C46BE" wp14:editId="0D72D94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063600" cy="2113200"/>
            <wp:effectExtent l="0" t="0" r="3810" b="0"/>
            <wp:wrapNone/>
            <wp:docPr id="53" name="MWCircles" title="Melbourne Water Circ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-fact-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1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DE">
        <w:t>Water storage levels</w:t>
      </w:r>
    </w:p>
    <w:p w:rsidR="00F42947" w:rsidRPr="003F2975" w:rsidRDefault="00F615DE" w:rsidP="00146C14">
      <w:pPr>
        <w:pStyle w:val="Subtitle"/>
      </w:pPr>
      <w:r>
        <w:t xml:space="preserve">Historical reporting – changes </w:t>
      </w:r>
      <w:r w:rsidR="00F95F18">
        <w:t>since the</w:t>
      </w:r>
      <w:r>
        <w:t xml:space="preserve"> 1940s</w:t>
      </w:r>
    </w:p>
    <w:p w:rsidR="003C1AE9" w:rsidRDefault="003C1AE9" w:rsidP="003C1AE9">
      <w:pPr>
        <w:pStyle w:val="BodyText12ptAbove"/>
      </w:pPr>
      <w:r w:rsidRPr="003C1AE9">
        <w:t>Melbourne’s total water storage capacity has changed over the years as reservoirs were built, upgraded, brought under Melbourne Water’s responsibility or disconnected from the water supply system.</w:t>
      </w:r>
      <w:r w:rsidR="00B32FD0">
        <w:t xml:space="preserve"> T</w:t>
      </w:r>
      <w:r w:rsidRPr="003C1AE9">
        <w:t xml:space="preserve">his has resulted in dramatic changes to </w:t>
      </w:r>
      <w:r>
        <w:t xml:space="preserve">the water storage levels reported, as these </w:t>
      </w:r>
      <w:r w:rsidR="00B32FD0">
        <w:t xml:space="preserve">figures </w:t>
      </w:r>
      <w:r>
        <w:t>a</w:t>
      </w:r>
      <w:r w:rsidR="00B32FD0">
        <w:t xml:space="preserve">re </w:t>
      </w:r>
      <w:r>
        <w:t xml:space="preserve">expressed as a percentage of the total </w:t>
      </w:r>
      <w:r w:rsidR="00B32FD0">
        <w:t>capacity of the water supply system.</w:t>
      </w:r>
    </w:p>
    <w:p w:rsidR="00B21456" w:rsidRPr="003C1AE9" w:rsidRDefault="00B32FD0" w:rsidP="003C1AE9">
      <w:pPr>
        <w:pStyle w:val="BodyText12ptAbove"/>
      </w:pPr>
      <w:r>
        <w:t>The following table shows some of the major changes to the way we report water storage levels.</w:t>
      </w:r>
      <w:bookmarkStart w:id="0" w:name="_GoBack"/>
      <w:bookmarkEnd w:id="0"/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</w:tblPr>
      <w:tblGrid>
        <w:gridCol w:w="1503"/>
        <w:gridCol w:w="6520"/>
        <w:gridCol w:w="1785"/>
      </w:tblGrid>
      <w:tr w:rsidR="00D530C7" w:rsidTr="00F61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6" w:type="pct"/>
          </w:tcPr>
          <w:p w:rsidR="00D530C7" w:rsidRDefault="00F615DE" w:rsidP="00D530C7">
            <w:pPr>
              <w:pStyle w:val="TableHeading"/>
            </w:pPr>
            <w:r>
              <w:t>Date</w:t>
            </w:r>
          </w:p>
        </w:tc>
        <w:tc>
          <w:tcPr>
            <w:tcW w:w="3324" w:type="pct"/>
          </w:tcPr>
          <w:p w:rsidR="00D530C7" w:rsidRDefault="00F615DE" w:rsidP="00F615DE">
            <w:pPr>
              <w:pStyle w:val="TableHeading"/>
            </w:pPr>
            <w:r>
              <w:t>Change</w:t>
            </w:r>
          </w:p>
        </w:tc>
        <w:tc>
          <w:tcPr>
            <w:tcW w:w="910" w:type="pct"/>
          </w:tcPr>
          <w:p w:rsidR="00D530C7" w:rsidRDefault="00F615DE" w:rsidP="00D530C7">
            <w:pPr>
              <w:pStyle w:val="TableHeading"/>
            </w:pPr>
            <w:r>
              <w:t>Total capacity (ML)</w:t>
            </w:r>
          </w:p>
        </w:tc>
      </w:tr>
      <w:tr w:rsidR="00F615DE" w:rsidTr="00F615DE"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Arial" w:hAnsi="Arial" w:cs="Arial"/>
              </w:rPr>
              <w:t>​</w:t>
            </w:r>
            <w:r w:rsidRPr="00530BB1">
              <w:rPr>
                <w:rFonts w:ascii="Verdana" w:hAnsi="Verdana"/>
              </w:rPr>
              <w:t>16 Sep 1957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Upper Yarra Reservoir comes online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296,230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13 Aug 1971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Greenvale Reservoir comes online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323,230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7 Sep 1973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Cardinia Reservoir comes online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610,230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19 Jul 1980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Sugarloaf Reservoir comes online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706,230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31 Jul 1984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 xml:space="preserve">Thomson Reservoir comes online 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1,774,230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 Jan 1986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530BB1">
              <w:rPr>
                <w:rFonts w:ascii="Verdana" w:hAnsi="Verdana"/>
              </w:rPr>
              <w:t>O’Shannassy</w:t>
            </w:r>
            <w:proofErr w:type="spellEnd"/>
            <w:r w:rsidRPr="00530BB1">
              <w:rPr>
                <w:rFonts w:ascii="Verdana" w:hAnsi="Verdana"/>
              </w:rPr>
              <w:t xml:space="preserve"> Reservoir</w:t>
            </w:r>
            <w:r>
              <w:rPr>
                <w:rFonts w:ascii="Verdana" w:hAnsi="Verdana"/>
              </w:rPr>
              <w:t>’</w:t>
            </w:r>
            <w:r w:rsidRPr="00530BB1">
              <w:rPr>
                <w:rFonts w:ascii="Verdana" w:hAnsi="Verdana"/>
              </w:rPr>
              <w:t>s total volume decreases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1,773,000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10 Sep 1991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 xml:space="preserve">Tarago and </w:t>
            </w:r>
            <w:proofErr w:type="spellStart"/>
            <w:r w:rsidRPr="00530BB1">
              <w:rPr>
                <w:rFonts w:ascii="Verdana" w:hAnsi="Verdana"/>
              </w:rPr>
              <w:t>Devilbend</w:t>
            </w:r>
            <w:proofErr w:type="spellEnd"/>
            <w:r w:rsidRPr="00530BB1">
              <w:rPr>
                <w:rFonts w:ascii="Verdana" w:hAnsi="Verdana"/>
              </w:rPr>
              <w:t xml:space="preserve"> reservoirs included </w:t>
            </w:r>
            <w:r>
              <w:rPr>
                <w:rFonts w:ascii="Verdana" w:hAnsi="Verdana"/>
              </w:rPr>
              <w:t>after</w:t>
            </w:r>
            <w:r w:rsidRPr="00530BB1">
              <w:rPr>
                <w:rFonts w:ascii="Verdana" w:hAnsi="Verdana"/>
              </w:rPr>
              <w:t xml:space="preserve"> water authorities merg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1,825,000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 Jan  1999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Tarago Reservoir taken offline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1,787,500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 Jun 2002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530BB1">
              <w:rPr>
                <w:rFonts w:ascii="Verdana" w:hAnsi="Verdana"/>
              </w:rPr>
              <w:t>Devilbend</w:t>
            </w:r>
            <w:proofErr w:type="spellEnd"/>
            <w:r w:rsidRPr="00530BB1">
              <w:rPr>
                <w:rFonts w:ascii="Verdana" w:hAnsi="Verdana"/>
              </w:rPr>
              <w:t xml:space="preserve"> Reservoir decommissioned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1,773,000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24 Jun 2009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 xml:space="preserve">Tarago Reservoir reconnected </w:t>
            </w:r>
            <w:r>
              <w:rPr>
                <w:rFonts w:ascii="Verdana" w:hAnsi="Verdana"/>
              </w:rPr>
              <w:t>after</w:t>
            </w:r>
            <w:r w:rsidRPr="00530BB1">
              <w:rPr>
                <w:rFonts w:ascii="Verdana" w:hAnsi="Verdana"/>
              </w:rPr>
              <w:t xml:space="preserve"> major upgrade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1,810,500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 Jul 2010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Water r</w:t>
            </w:r>
            <w:r w:rsidRPr="00530BB1">
              <w:rPr>
                <w:rFonts w:ascii="Verdana" w:hAnsi="Verdana"/>
              </w:rPr>
              <w:t>eporting aligned with Bureau of Meteorology (</w:t>
            </w:r>
            <w:r>
              <w:rPr>
                <w:rFonts w:ascii="Verdana" w:hAnsi="Verdana"/>
              </w:rPr>
              <w:t xml:space="preserve">most reservoirs previously </w:t>
            </w:r>
            <w:r w:rsidRPr="00530BB1">
              <w:rPr>
                <w:rFonts w:ascii="Verdana" w:hAnsi="Verdana"/>
              </w:rPr>
              <w:t>report</w:t>
            </w:r>
            <w:r>
              <w:rPr>
                <w:rFonts w:ascii="Verdana" w:hAnsi="Verdana"/>
              </w:rPr>
              <w:t>ed</w:t>
            </w:r>
            <w:r w:rsidRPr="00530BB1">
              <w:rPr>
                <w:rFonts w:ascii="Verdana" w:hAnsi="Verdana"/>
              </w:rPr>
              <w:t xml:space="preserve"> to the nearest 1,000 ML)</w:t>
            </w:r>
            <w:r w:rsidRPr="00530BB1">
              <w:rPr>
                <w:rFonts w:ascii="Arial" w:hAnsi="Arial" w:cs="Arial"/>
              </w:rPr>
              <w:t>​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1,812,175</w:t>
            </w:r>
            <w:r w:rsidRPr="00530BB1">
              <w:rPr>
                <w:rFonts w:ascii="Arial" w:hAnsi="Arial" w:cs="Arial"/>
              </w:rPr>
              <w:t>​</w:t>
            </w:r>
          </w:p>
        </w:tc>
      </w:tr>
      <w:tr w:rsidR="00F615DE" w:rsidTr="00F615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6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Arial" w:hAnsi="Arial" w:cs="Arial"/>
              </w:rPr>
              <w:t>​</w:t>
            </w:r>
            <w:r w:rsidRPr="00530BB1">
              <w:rPr>
                <w:rFonts w:ascii="Verdana" w:hAnsi="Verdana"/>
              </w:rPr>
              <w:t>1 Jan 2012</w:t>
            </w:r>
          </w:p>
        </w:tc>
        <w:tc>
          <w:tcPr>
            <w:tcW w:w="3324" w:type="pct"/>
          </w:tcPr>
          <w:p w:rsidR="00F615DE" w:rsidRPr="00530BB1" w:rsidRDefault="00F615DE" w:rsidP="00BA0B5D">
            <w:pPr>
              <w:spacing w:after="0" w:line="240" w:lineRule="auto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Sugarloaf Pipeline allocation removed (water held in Lake Eildon on Melbourne's behalf)</w:t>
            </w:r>
          </w:p>
        </w:tc>
        <w:tc>
          <w:tcPr>
            <w:tcW w:w="910" w:type="pct"/>
          </w:tcPr>
          <w:p w:rsidR="00F615DE" w:rsidRPr="00530BB1" w:rsidRDefault="00F615DE" w:rsidP="00F615D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0BB1">
              <w:rPr>
                <w:rFonts w:ascii="Verdana" w:hAnsi="Verdana"/>
              </w:rPr>
              <w:t>1,812,175</w:t>
            </w:r>
          </w:p>
        </w:tc>
      </w:tr>
    </w:tbl>
    <w:p w:rsidR="00D530C7" w:rsidRPr="00D530C7" w:rsidRDefault="00D530C7" w:rsidP="00D530C7">
      <w:pPr>
        <w:pStyle w:val="BodyText"/>
      </w:pPr>
    </w:p>
    <w:sectPr w:rsidR="00D530C7" w:rsidRPr="00D530C7" w:rsidSect="00F42947">
      <w:headerReference w:type="default" r:id="rId10"/>
      <w:footerReference w:type="default" r:id="rId11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7" w:rsidRDefault="00D530C7" w:rsidP="00256624">
      <w:r>
        <w:separator/>
      </w:r>
    </w:p>
    <w:p w:rsidR="00D530C7" w:rsidRDefault="00D530C7"/>
  </w:endnote>
  <w:endnote w:type="continuationSeparator" w:id="0">
    <w:p w:rsidR="00D530C7" w:rsidRDefault="00D530C7" w:rsidP="00256624">
      <w:r>
        <w:continuationSeparator/>
      </w:r>
    </w:p>
    <w:p w:rsidR="00D530C7" w:rsidRDefault="00D53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07600B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30EDAD4E" wp14:editId="291E61E7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1980000" cy="4248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0D9EA939" wp14:editId="1ACE9C11">
          <wp:simplePos x="0" y="0"/>
          <wp:positionH relativeFrom="margin">
            <wp:posOffset>-31115</wp:posOffset>
          </wp:positionH>
          <wp:positionV relativeFrom="paragraph">
            <wp:posOffset>-133350</wp:posOffset>
          </wp:positionV>
          <wp:extent cx="762635" cy="427990"/>
          <wp:effectExtent l="0" t="0" r="0" b="0"/>
          <wp:wrapNone/>
          <wp:docPr id="51" name="V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 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 Phillip and Westernport region.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7" w:rsidRDefault="00D530C7" w:rsidP="00256624">
      <w:r>
        <w:separator/>
      </w:r>
    </w:p>
  </w:footnote>
  <w:footnote w:type="continuationSeparator" w:id="0">
    <w:p w:rsidR="00D530C7" w:rsidRDefault="00D530C7" w:rsidP="00256624">
      <w:r>
        <w:continuationSeparator/>
      </w:r>
    </w:p>
    <w:p w:rsidR="00D530C7" w:rsidRDefault="00D53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9B637D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B32FD0">
      <w:rPr>
        <w:noProof/>
      </w:rPr>
      <w:instrText>1</w:instrText>
    </w:r>
    <w:r>
      <w:fldChar w:fldCharType="end"/>
    </w:r>
    <w:r>
      <w:instrText xml:space="preserve"> &lt;&gt; 1 </w:instrText>
    </w:r>
    <w:r>
      <w:fldChar w:fldCharType="begin"/>
    </w:r>
    <w:r>
      <w:instrText xml:space="preserve"> PAGE   \* MERGEFORMAT </w:instrText>
    </w:r>
    <w:r>
      <w:fldChar w:fldCharType="separate"/>
    </w:r>
    <w:r w:rsidR="00F615DE">
      <w:rPr>
        <w:noProof/>
      </w:rPr>
      <w:instrText>2</w:instrText>
    </w:r>
    <w:r>
      <w:fldChar w:fldCharType="end"/>
    </w:r>
    <w:r>
      <w:instrText xml:space="preserve">  </w:instrText>
    </w:r>
    <w:r>
      <w:fldChar w:fldCharType="end"/>
    </w: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>
    <w:nsid w:val="43346247"/>
    <w:multiLevelType w:val="multilevel"/>
    <w:tmpl w:val="38F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4753D"/>
    <w:multiLevelType w:val="multilevel"/>
    <w:tmpl w:val="FB6CF5E4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57231450"/>
    <w:multiLevelType w:val="multilevel"/>
    <w:tmpl w:val="C9207142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6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8"/>
  </w:num>
  <w:num w:numId="34">
    <w:abstractNumId w:val="21"/>
  </w:num>
  <w:num w:numId="35">
    <w:abstractNumId w:val="17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D530C7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818D8"/>
    <w:rsid w:val="001827CC"/>
    <w:rsid w:val="0018426D"/>
    <w:rsid w:val="00184490"/>
    <w:rsid w:val="001844C6"/>
    <w:rsid w:val="001845EF"/>
    <w:rsid w:val="00184B03"/>
    <w:rsid w:val="001874D7"/>
    <w:rsid w:val="0019068B"/>
    <w:rsid w:val="00191308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E9"/>
    <w:rsid w:val="0027240B"/>
    <w:rsid w:val="00274C38"/>
    <w:rsid w:val="00274DED"/>
    <w:rsid w:val="0027759D"/>
    <w:rsid w:val="00283EA9"/>
    <w:rsid w:val="002857D1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5198"/>
    <w:rsid w:val="00316DFD"/>
    <w:rsid w:val="003172A7"/>
    <w:rsid w:val="00317D2D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9025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1AE9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52294"/>
    <w:rsid w:val="00452568"/>
    <w:rsid w:val="004547DD"/>
    <w:rsid w:val="004551B7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5884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F19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4138"/>
    <w:rsid w:val="00745894"/>
    <w:rsid w:val="007475B7"/>
    <w:rsid w:val="00747643"/>
    <w:rsid w:val="00751956"/>
    <w:rsid w:val="00753CBF"/>
    <w:rsid w:val="00754A6E"/>
    <w:rsid w:val="0075649A"/>
    <w:rsid w:val="00756864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940"/>
    <w:rsid w:val="008A16EF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771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56C1"/>
    <w:rsid w:val="0091073A"/>
    <w:rsid w:val="00910879"/>
    <w:rsid w:val="00912521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6F06"/>
    <w:rsid w:val="009E7348"/>
    <w:rsid w:val="009F0C40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2FD0"/>
    <w:rsid w:val="00B3345B"/>
    <w:rsid w:val="00B34754"/>
    <w:rsid w:val="00B34F72"/>
    <w:rsid w:val="00B35B06"/>
    <w:rsid w:val="00B36966"/>
    <w:rsid w:val="00B37969"/>
    <w:rsid w:val="00B4269D"/>
    <w:rsid w:val="00B4280D"/>
    <w:rsid w:val="00B43659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91935"/>
    <w:rsid w:val="00B93DAB"/>
    <w:rsid w:val="00B96973"/>
    <w:rsid w:val="00BA1296"/>
    <w:rsid w:val="00BA1355"/>
    <w:rsid w:val="00BA2314"/>
    <w:rsid w:val="00BA41F3"/>
    <w:rsid w:val="00BA4ED5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DCF"/>
    <w:rsid w:val="00C44908"/>
    <w:rsid w:val="00C4599D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30C7"/>
    <w:rsid w:val="00D570AD"/>
    <w:rsid w:val="00D5772F"/>
    <w:rsid w:val="00D57DDF"/>
    <w:rsid w:val="00D72DAB"/>
    <w:rsid w:val="00D7419E"/>
    <w:rsid w:val="00D741BC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7143"/>
    <w:rsid w:val="00E906A2"/>
    <w:rsid w:val="00E90F81"/>
    <w:rsid w:val="00EA0725"/>
    <w:rsid w:val="00EA116F"/>
    <w:rsid w:val="00EA2529"/>
    <w:rsid w:val="00EA6605"/>
    <w:rsid w:val="00EA73A0"/>
    <w:rsid w:val="00EB149F"/>
    <w:rsid w:val="00EB2037"/>
    <w:rsid w:val="00EB4955"/>
    <w:rsid w:val="00EB55A7"/>
    <w:rsid w:val="00EC439D"/>
    <w:rsid w:val="00EC49A0"/>
    <w:rsid w:val="00EC591E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15DE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5F18"/>
    <w:rsid w:val="00F97FBB"/>
    <w:rsid w:val="00FA0662"/>
    <w:rsid w:val="00FA10C8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5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5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7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5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9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6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D062-70DC-4A56-B2D9-CBD2784B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19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Loo</dc:creator>
  <cp:lastModifiedBy>Sarah Loo</cp:lastModifiedBy>
  <cp:revision>5</cp:revision>
  <cp:lastPrinted>2017-03-25T01:28:00Z</cp:lastPrinted>
  <dcterms:created xsi:type="dcterms:W3CDTF">2017-08-07T00:41:00Z</dcterms:created>
  <dcterms:modified xsi:type="dcterms:W3CDTF">2017-08-28T06:38:00Z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